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Назва закупівлі:</w:t>
      </w:r>
      <w:r>
        <w:rPr>
          <w:b/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en-US" w:eastAsia="ar-SA" w:bidi="ar-SA"/>
        </w:rPr>
        <w:t>П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ar-SA" w:bidi="ar-SA"/>
        </w:rPr>
        <w:t>ослуги з благоустрою (косіння та посів трави)</w:t>
      </w:r>
      <w:r>
        <w:rPr>
          <w:b w:val="false"/>
          <w:bCs w:val="false"/>
          <w:sz w:val="22"/>
          <w:szCs w:val="22"/>
          <w:lang w:val="uk-UA"/>
        </w:rPr>
        <w:t xml:space="preserve"> </w:t>
      </w:r>
    </w:p>
    <w:p>
      <w:pPr>
        <w:pStyle w:val="Normal"/>
        <w:jc w:val="both"/>
        <w:rPr/>
      </w:pP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 xml:space="preserve">(ДК 021:2015 —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77310000-6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en-US" w:eastAsia="zh-CN" w:bidi="ar-SA"/>
        </w:rPr>
        <w:t xml:space="preserve"> –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Послуги з озеленення територій та утримання зелених насаджень)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4</w:t>
      </w:r>
      <w:r>
        <w:rPr>
          <w:sz w:val="22"/>
          <w:szCs w:val="22"/>
          <w:lang w:val="en-US"/>
        </w:rPr>
        <w:t>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01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10330-</w:t>
      </w:r>
      <w:r>
        <w:rPr>
          <w:sz w:val="22"/>
          <w:szCs w:val="22"/>
          <w:lang w:val="en-US"/>
        </w:rPr>
        <w:t>a</w:t>
      </w:r>
    </w:p>
    <w:p>
      <w:pPr>
        <w:pStyle w:val="Normal"/>
        <w:tabs>
          <w:tab w:val="clear" w:pos="709"/>
          <w:tab w:val="left" w:pos="4950" w:leader="none"/>
        </w:tabs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sz w:val="22"/>
          <w:szCs w:val="22"/>
        </w:rPr>
        <w:t>1 600 000,00 грн.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/>
      </w:pPr>
      <w:r>
        <w:rPr>
          <w:sz w:val="24"/>
          <w:szCs w:val="24"/>
          <w:lang w:val="uk-UA" w:bidi="ar-SA"/>
        </w:rPr>
        <w:t>Послуги надаються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 xml:space="preserve"> протягом року з врахування вимог замовника та у відповідності до технології догляду за зеленими насадженнями.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ab/>
        <w:t xml:space="preserve">Косіння трави 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zh-CN" w:bidi="ar-SA"/>
        </w:rPr>
        <w:t>450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>,0 га, посів трави на площі - 0,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zh-CN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 xml:space="preserve"> га.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bidi="ar-SA"/>
        </w:rPr>
        <w:tab/>
        <w:t>При наданні послуг з косіння та посіву трави Виконавець повинен:</w:t>
      </w:r>
    </w:p>
    <w:p>
      <w:pPr>
        <w:pStyle w:val="Normal"/>
        <w:jc w:val="both"/>
        <w:rPr/>
      </w:pPr>
      <w:r>
        <w:rPr>
          <w:sz w:val="24"/>
          <w:szCs w:val="24"/>
          <w:lang w:val="uk-UA" w:bidi="ar-SA"/>
        </w:rPr>
        <w:tab/>
        <w:t xml:space="preserve">- </w:t>
      </w:r>
      <w:r>
        <w:rPr>
          <w:rFonts w:cs="Times New Roman"/>
          <w:sz w:val="24"/>
          <w:szCs w:val="24"/>
          <w:lang w:val="uk-UA" w:bidi="ar-SA"/>
        </w:rPr>
        <w:t xml:space="preserve">бути оснащений спеціалізованою технікою для </w:t>
      </w:r>
      <w:r>
        <w:rPr>
          <w:rFonts w:cs="Times New Roman"/>
          <w:b w:val="false"/>
          <w:bCs w:val="false"/>
          <w:iCs/>
          <w:sz w:val="24"/>
          <w:szCs w:val="24"/>
          <w:lang w:val="uk-UA" w:bidi="ar-SA"/>
        </w:rPr>
        <w:t>забезпечення якісного виконання в подальшому умов договору</w:t>
      </w:r>
      <w:r>
        <w:rPr>
          <w:rFonts w:cs="Times New Roman"/>
          <w:sz w:val="24"/>
          <w:szCs w:val="24"/>
          <w:lang w:val="uk-UA" w:bidi="ar-SA"/>
        </w:rPr>
        <w:t>;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  <w:lang w:val="uk-UA" w:bidi="ar-SA"/>
        </w:rPr>
        <w:tab/>
        <w:t>- мати необхідну кількість кваліфікованих кадрів (у т.ч. працівників</w:t>
      </w:r>
      <w:r>
        <w:rPr>
          <w:rFonts w:cs="Times New Roman"/>
          <w:iCs/>
          <w:color w:val="000000"/>
          <w:sz w:val="22"/>
          <w:szCs w:val="22"/>
          <w:shd w:fill="FFFFFF" w:val="clear"/>
          <w:lang w:val="uk-UA" w:bidi="ar-SA"/>
        </w:rPr>
        <w:t>, які будуть здійснювати косіння трави, не менше 10 осіб на день</w:t>
      </w:r>
      <w:r>
        <w:rPr>
          <w:rFonts w:eastAsia="Times New Roman" w:cs="Times New Roman"/>
          <w:iCs/>
          <w:color w:val="000000"/>
          <w:sz w:val="22"/>
          <w:szCs w:val="22"/>
          <w:shd w:fill="FFFFFF" w:val="clear"/>
          <w:lang w:val="uk-UA" w:eastAsia="zh-CN" w:bidi="ar-SA"/>
        </w:rPr>
        <w:t>);</w:t>
      </w:r>
    </w:p>
    <w:p>
      <w:pPr>
        <w:pStyle w:val="Normal"/>
        <w:jc w:val="both"/>
        <w:rPr>
          <w:rFonts w:cs="Times New Roman"/>
          <w:sz w:val="24"/>
          <w:szCs w:val="24"/>
          <w:lang w:val="uk-UA" w:bidi="ar-SA"/>
        </w:rPr>
      </w:pPr>
      <w:r>
        <w:rPr>
          <w:rFonts w:cs="Times New Roman"/>
          <w:sz w:val="24"/>
          <w:szCs w:val="24"/>
          <w:lang w:val="uk-UA" w:bidi="ar-SA"/>
        </w:rPr>
        <w:tab/>
        <w:t>- мати захисне обладнання;</w:t>
      </w:r>
    </w:p>
    <w:p>
      <w:pPr>
        <w:pStyle w:val="Normal"/>
        <w:jc w:val="both"/>
        <w:rPr>
          <w:rFonts w:cs="Times New Roman"/>
          <w:sz w:val="24"/>
          <w:szCs w:val="24"/>
          <w:lang w:val="uk-UA" w:bidi="ar-SA"/>
        </w:rPr>
      </w:pPr>
      <w:r>
        <w:rPr>
          <w:rFonts w:cs="Times New Roman"/>
          <w:sz w:val="24"/>
          <w:szCs w:val="24"/>
          <w:lang w:val="uk-UA" w:bidi="ar-SA"/>
        </w:rPr>
        <w:tab/>
        <w:t>- під час проведення робіт (надання послуг) огороджувати зони косіння трави сигнальними стрічками;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  <w:lang w:val="uk-UA" w:bidi="ar-SA"/>
        </w:rPr>
        <w:tab/>
        <w:t xml:space="preserve">- після скошування трави забезпечити утилізацію рослинних рештків (трави) шляхом їх збирання, прибирання та вивезення на  </w:t>
      </w: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ar-SA"/>
        </w:rPr>
        <w:t>Прилуцьке міське сміттєзвалище (перший кілометр автодороги Прилуки-Варва);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ar-SA"/>
        </w:rPr>
        <w:tab/>
        <w:t>-посів трави.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  <w:lang w:val="uk-UA" w:bidi="ar-SA"/>
        </w:rPr>
        <w:tab/>
      </w:r>
      <w:r>
        <w:rPr>
          <w:sz w:val="24"/>
          <w:szCs w:val="24"/>
        </w:rPr>
        <w:t>Виконавець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>
      <w:pPr>
        <w:pStyle w:val="Default"/>
        <w:autoSpaceDE w:val="false"/>
        <w:jc w:val="both"/>
        <w:rPr/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ab/>
        <w:t xml:space="preserve"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uk-UA"/>
        </w:rPr>
        <w:t>та природного середовища.</w:t>
      </w:r>
    </w:p>
    <w:p>
      <w:pPr>
        <w:pStyle w:val="Normal"/>
        <w:tabs>
          <w:tab w:val="clear" w:pos="709"/>
          <w:tab w:val="left" w:pos="855" w:leader="none"/>
        </w:tabs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Персонал виконавця, який безпосередньо здійснює косіння трави, повинен мати дозвіл (сертифікат тощо) щодо проходження навчання по роботі з обладнанням, яке має двигуни внутрішньтого згорання.</w:t>
      </w:r>
    </w:p>
    <w:p>
      <w:pPr>
        <w:pStyle w:val="Normal"/>
        <w:tabs>
          <w:tab w:val="clear" w:pos="709"/>
          <w:tab w:val="left" w:pos="735" w:leader="none"/>
        </w:tabs>
        <w:autoSpaceDE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ind w:left="0" w:right="0" w:firstLine="690"/>
        <w:jc w:val="center"/>
        <w:rPr>
          <w:rFonts w:cs="Times New Roman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/>
          <w:b/>
          <w:bCs/>
          <w:i w:val="false"/>
          <w:iCs w:val="false"/>
          <w:sz w:val="26"/>
          <w:szCs w:val="26"/>
        </w:rPr>
        <w:t>Примірний перелік об’єктів косіння:</w:t>
      </w:r>
    </w:p>
    <w:p>
      <w:pPr>
        <w:pStyle w:val="Normal"/>
        <w:ind w:left="0" w:right="0" w:firstLine="690"/>
        <w:jc w:val="center"/>
        <w:rPr>
          <w:rFonts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1. вул.Київська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>(від в’їзду в місто Прилуки з боку міста Ніжин до виїзду з міста зі сторони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с. Манжосівка) </w:t>
        <w:tab/>
        <w:tab/>
        <w:tab/>
        <w:tab/>
        <w:tab/>
        <w:tab/>
        <w:tab/>
        <w:tab/>
        <w:tab/>
        <w:tab/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en-US" w:bidi="ar-SA"/>
        </w:rPr>
        <w:t xml:space="preserve">28,5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>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2.  вул.І Козача (від вул. Київської до вул. 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Чорновола)</w:t>
      </w:r>
      <w:r>
        <w:rPr>
          <w:rFonts w:cs="Times New Roman"/>
          <w:color w:val="000000"/>
          <w:sz w:val="22"/>
          <w:szCs w:val="22"/>
          <w:shd w:fill="auto" w:val="clear"/>
        </w:rPr>
        <w:tab/>
        <w:tab/>
        <w:tab/>
        <w:t>– 0,47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3.  вул.Андріївська (від вул. І.Скоропадського до залізничного переїзду) </w:t>
        <w:tab/>
        <w:tab/>
        <w:t>– 0,48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4.  вул.Ветеранська (від вул. І.Скоропадського до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</w:t>
      </w:r>
      <w:r>
        <w:rPr>
          <w:rFonts w:cs="Times New Roman"/>
          <w:color w:val="000000"/>
          <w:sz w:val="22"/>
          <w:szCs w:val="22"/>
          <w:shd w:fill="auto" w:val="clear"/>
        </w:rPr>
        <w:t>)</w:t>
        <w:tab/>
        <w:t>– 0,8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5.  вул.Іванівська </w:t>
        <w:tab/>
        <w:tab/>
        <w:tab/>
        <w:tab/>
        <w:tab/>
        <w:tab/>
        <w:tab/>
        <w:tab/>
        <w:tab/>
        <w:t>– 0,45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6  вул.Земська (від вул. І.Скоропадського до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</w:t>
      </w:r>
      <w:r>
        <w:rPr>
          <w:rFonts w:cs="Times New Roman"/>
          <w:color w:val="000000"/>
          <w:sz w:val="22"/>
          <w:szCs w:val="22"/>
          <w:shd w:fill="auto" w:val="clear"/>
        </w:rPr>
        <w:t>)</w:t>
        <w:tab/>
        <w:tab/>
        <w:t xml:space="preserve">– 0,52 га;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7. 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Переяславська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 Київська до до залізничного мосту) </w:t>
        <w:tab/>
        <w:tab/>
        <w:tab/>
        <w:t xml:space="preserve">– </w:t>
      </w:r>
      <w:r>
        <w:rPr>
          <w:rFonts w:cs="Times New Roman"/>
          <w:color w:val="000000"/>
          <w:sz w:val="22"/>
          <w:szCs w:val="22"/>
          <w:shd w:fill="auto" w:val="clear"/>
          <w:lang w:val="uk-UA"/>
        </w:rPr>
        <w:t>0,2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8.  вул.Вокзальна (від вул. Київська до Привокзальної площі) </w:t>
        <w:tab/>
        <w:tab/>
        <w:tab/>
        <w:t>– 1,69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9.  вул.Садова (від вул. Гоголя до Привокзальної площі) </w:t>
        <w:tab/>
        <w:tab/>
        <w:tab/>
        <w:tab/>
        <w:t>– 1,52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10.вул.Гімназична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</w:r>
      <w:r>
        <w:rPr>
          <w:rFonts w:cs="Times New Roman"/>
          <w:color w:val="000000"/>
          <w:sz w:val="21"/>
          <w:szCs w:val="21"/>
          <w:shd w:fill="auto" w:val="clear"/>
        </w:rPr>
        <w:t>(від вул. Соборної до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</w:t>
      </w:r>
      <w:r>
        <w:rPr>
          <w:rFonts w:cs="Times New Roman"/>
          <w:color w:val="000000"/>
          <w:sz w:val="22"/>
          <w:szCs w:val="22"/>
          <w:shd w:fill="auto" w:val="clear"/>
        </w:rPr>
        <w:t>)</w:t>
      </w:r>
      <w:r>
        <w:rPr>
          <w:rFonts w:cs="Times New Roman"/>
          <w:color w:val="000000"/>
          <w:sz w:val="21"/>
          <w:szCs w:val="21"/>
          <w:shd w:fill="auto" w:val="clear"/>
        </w:rPr>
        <w:t xml:space="preserve">,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1"/>
          <w:szCs w:val="21"/>
          <w:shd w:fill="auto" w:val="clear"/>
        </w:rPr>
        <w:tab/>
        <w:t xml:space="preserve">у т.ч. Центральне кладовище по вул.Гімназична) 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</w:t>
        <w:tab/>
        <w:tab/>
        <w:tab/>
        <w:tab/>
        <w:tab/>
        <w:t xml:space="preserve">– 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10,52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га;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11.вул.Котляревського (від вул. 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Героїв Прилук до вул В’ячеслава Чорновола)</w:t>
      </w: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– 2,9 га;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12.вул.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Миколи Леонтовича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вул.Соборної до вул.Гвардіської) </w:t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13.вул.Ярмаркова (від вул.Соборної до вул.Гвардіської) </w:t>
        <w:tab/>
        <w:tab/>
        <w:tab/>
        <w:tab/>
        <w:t>– 1,0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14.вул.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Кустівська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</w:t>
        <w:tab/>
        <w:tab/>
        <w:tab/>
        <w:tab/>
        <w:tab/>
        <w:tab/>
        <w:tab/>
        <w:tab/>
        <w:tab/>
        <w:t>– 0,1 га;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>15.вул.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eastAsia="zh-CN" w:bidi="ar-SA"/>
        </w:rPr>
        <w:t>Героїв Чоронобиля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 </w:t>
        <w:tab/>
        <w:tab/>
        <w:tab/>
        <w:tab/>
        <w:tab/>
        <w:tab/>
        <w:tab/>
        <w:tab/>
        <w:t>– 0,1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16.вул.Перемоги (від вул. Промислової до вул. Берегової) </w:t>
        <w:tab/>
        <w:tab/>
        <w:tab/>
        <w:tab/>
        <w:t>– 1,1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17.вул.Соборна (від Історичної зони до вул. Ярмаркова) </w:t>
        <w:tab/>
        <w:tab/>
        <w:tab/>
        <w:tab/>
        <w:t>– 0,7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18.вул.І.Скоропадського </w:t>
        <w:tab/>
        <w:tab/>
        <w:tab/>
        <w:tab/>
        <w:tab/>
        <w:tab/>
        <w:tab/>
        <w:tab/>
        <w:t>– 0,95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19.вул.Незалежності (від вул. Київська до вул. Густинськ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а</w:t>
      </w:r>
      <w:r>
        <w:rPr>
          <w:rFonts w:cs="Times New Roman"/>
          <w:color w:val="000000"/>
          <w:sz w:val="22"/>
          <w:szCs w:val="22"/>
          <w:shd w:fill="auto" w:val="clear"/>
        </w:rPr>
        <w:t>)</w:t>
        <w:tab/>
        <w:t xml:space="preserve"> </w:t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20.вул.Сорочинська (в т.ч. дитячий майданчик та церква) </w:t>
        <w:tab/>
        <w:tab/>
        <w:tab/>
        <w:tab/>
        <w:t>– 0,8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21.вул.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Героїв Прилук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вул.Сорочинськ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до вул.Котляревського) </w:t>
        <w:tab/>
        <w:tab/>
        <w:t>– 0,9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22.вул.Густинська </w:t>
        <w:tab/>
        <w:tab/>
        <w:tab/>
        <w:tab/>
        <w:tab/>
        <w:tab/>
        <w:tab/>
        <w:tab/>
        <w:tab/>
        <w:t>– 0,5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23.вул.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 І.Козача до вул. Гвардійськ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) </w:t>
        <w:tab/>
        <w:tab/>
        <w:t>– 3,1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24.вул.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Європейська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 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Військова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до вул. Житня) </w:t>
        <w:tab/>
        <w:tab/>
        <w:tab/>
        <w:tab/>
        <w:t xml:space="preserve">– </w:t>
      </w:r>
      <w:r>
        <w:rPr>
          <w:rFonts w:cs="Times New Roman"/>
          <w:color w:val="000000"/>
          <w:sz w:val="22"/>
          <w:szCs w:val="22"/>
          <w:shd w:fill="auto" w:val="clear"/>
          <w:lang w:val="uk-UA"/>
        </w:rPr>
        <w:t>3,1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25.вул.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Небесної Сотні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Військова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до вул. Садов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) </w:t>
        <w:tab/>
        <w:tab/>
        <w:tab/>
        <w:tab/>
        <w:t>– 1,25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26.вул.Пирятинська (від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до виїзду з міста) </w:t>
        <w:tab/>
        <w:tab/>
        <w:t>– 9,8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27.вул.Польова </w:t>
        <w:tab/>
        <w:tab/>
        <w:tab/>
        <w:tab/>
        <w:tab/>
        <w:tab/>
        <w:tab/>
        <w:tab/>
        <w:tab/>
        <w:t>– 1,1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28.вул.Гвардійська (від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В’ячеслава Чорновола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до вул.Кільцева)</w:t>
        <w:tab/>
        <w:tab/>
        <w:tab/>
        <w:t>– 2,05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29.вул.Індустріальна </w:t>
        <w:tab/>
        <w:tab/>
        <w:tab/>
        <w:tab/>
        <w:tab/>
        <w:tab/>
        <w:tab/>
        <w:tab/>
        <w:tab/>
        <w:t>– 1,0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30.вул.18 Вересня (від 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Івана Богуна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до залізничної колії) </w:t>
        <w:tab/>
        <w:tab/>
        <w:tab/>
        <w:t>– 0,45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31.вул.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Івана Богуна</w:t>
      </w:r>
      <w:r>
        <w:rPr>
          <w:rFonts w:cs="Times New Roman"/>
          <w:color w:val="000000"/>
          <w:sz w:val="22"/>
          <w:szCs w:val="22"/>
          <w:shd w:fill="auto" w:val="clear"/>
        </w:rPr>
        <w:t xml:space="preserve"> (від вул.Левка Ревуцького до вул.Ракітна) </w:t>
        <w:tab/>
        <w:tab/>
        <w:tab/>
        <w:t>– 0,7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32.</w:t>
      </w:r>
      <w:r>
        <w:rPr>
          <w:color w:val="000000"/>
          <w:sz w:val="22"/>
          <w:szCs w:val="22"/>
          <w:shd w:fill="auto" w:val="clear"/>
        </w:rPr>
        <w:t xml:space="preserve">вул.Левка Ревуцького </w:t>
        <w:tab/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0,2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33.</w:t>
      </w:r>
      <w:r>
        <w:rPr>
          <w:color w:val="000000"/>
          <w:sz w:val="22"/>
          <w:szCs w:val="22"/>
          <w:shd w:fill="auto" w:val="clear"/>
        </w:rPr>
        <w:t xml:space="preserve">вул.Саксаганського </w:t>
        <w:tab/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0,6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34.</w:t>
      </w:r>
      <w:r>
        <w:rPr>
          <w:color w:val="000000"/>
          <w:sz w:val="22"/>
          <w:szCs w:val="22"/>
          <w:shd w:fill="auto" w:val="clear"/>
        </w:rPr>
        <w:t xml:space="preserve">вул.Гетьмана Сагайдачного </w:t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0,8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35.пров.Гетьмана Сагайдачного </w:t>
        <w:tab/>
        <w:tab/>
        <w:tab/>
        <w:tab/>
        <w:tab/>
        <w:tab/>
        <w:tab/>
        <w:t>– 0,4 га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36.вул.Рокитна </w:t>
        <w:tab/>
        <w:tab/>
        <w:tab/>
        <w:tab/>
        <w:tab/>
        <w:tab/>
        <w:tab/>
        <w:tab/>
        <w:tab/>
        <w:t>– 0,2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37.Історична зона </w:t>
        <w:tab/>
        <w:tab/>
        <w:tab/>
        <w:tab/>
        <w:tab/>
        <w:tab/>
        <w:tab/>
        <w:tab/>
        <w:tab/>
        <w:t>– 6,0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38.Сквер ім. Т.Г. Шевченка </w:t>
        <w:tab/>
        <w:tab/>
        <w:tab/>
        <w:tab/>
        <w:tab/>
        <w:tab/>
        <w:tab/>
        <w:tab/>
        <w:t>– 0,75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39.Меморіал-сквер “Вічної слави” </w:t>
        <w:tab/>
        <w:tab/>
        <w:tab/>
        <w:tab/>
        <w:tab/>
        <w:tab/>
        <w:tab/>
        <w:t>– 0,7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>40.С</w:t>
      </w:r>
      <w:r>
        <w:rPr>
          <w:rFonts w:eastAsia="Times New Roman" w:cs="Times New Roman"/>
          <w:color w:val="000000"/>
          <w:sz w:val="22"/>
          <w:szCs w:val="22"/>
          <w:shd w:fill="auto" w:val="clear"/>
          <w:lang w:val="uk-UA" w:eastAsia="zh-CN" w:bidi="ar-SA"/>
        </w:rPr>
        <w:t>квер “Ветеранів”</w:t>
      </w: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 xml:space="preserve"> (біля ЗОШ № 6) </w:t>
        <w:tab/>
        <w:tab/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41.Братські могили (на кладовищах) </w:t>
        <w:tab/>
        <w:tab/>
        <w:tab/>
        <w:tab/>
        <w:tab/>
        <w:tab/>
        <w:tab/>
        <w:t>– 0,05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42.Пам’ятний знак “Воїнам визволителям” по вул.Пирятинській </w:t>
        <w:tab/>
        <w:tab/>
        <w:tab/>
        <w:t>– 0,4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43.Газони </w:t>
        <w:tab/>
        <w:tab/>
        <w:tab/>
        <w:tab/>
        <w:tab/>
        <w:tab/>
        <w:tab/>
        <w:tab/>
        <w:t xml:space="preserve"> </w:t>
        <w:tab/>
        <w:tab/>
        <w:t>– 0,65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44.Ліквідація карантинних бур’янів у місцях їх локалізації </w:t>
        <w:tab/>
        <w:tab/>
        <w:tab/>
        <w:tab/>
        <w:t>– 2,0 га.</w:t>
      </w:r>
    </w:p>
    <w:p>
      <w:pPr>
        <w:pStyle w:val="Normal"/>
        <w:jc w:val="both"/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pPr>
      <w:r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r>
    </w:p>
    <w:p>
      <w:pPr>
        <w:pStyle w:val="Normal"/>
        <w:jc w:val="both"/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pPr>
      <w:r>
        <w:rPr>
          <w:rFonts w:cs="Times New Roman"/>
          <w:color w:val="000000"/>
          <w:sz w:val="26"/>
          <w:szCs w:val="26"/>
          <w:shd w:fill="auto" w:val="clear"/>
          <w:lang w:val="uk-UA" w:bidi="ar-SA"/>
        </w:rPr>
      </w:r>
    </w:p>
    <w:p>
      <w:pPr>
        <w:pStyle w:val="Normal"/>
        <w:spacing w:lineRule="exact" w:line="227"/>
        <w:jc w:val="both"/>
        <w:rPr/>
      </w:pPr>
      <w:r>
        <w:rPr>
          <w:rStyle w:val="32"/>
          <w:rFonts w:eastAsia="Times New Roman CYR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shd w:fill="auto" w:val="clear"/>
          <w:lang w:val="uk-UA" w:eastAsia="zh-CN" w:bidi="ar-SA"/>
        </w:rPr>
        <w:tab/>
      </w:r>
      <w:r>
        <w:rPr>
          <w:rStyle w:val="32"/>
          <w:rFonts w:eastAsia="Times New Roman CYR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auto" w:val="clear"/>
          <w:lang w:val="uk-UA" w:eastAsia="zh-CN" w:bidi="ar-SA"/>
        </w:rPr>
        <w:t xml:space="preserve">В разі необхідності, Замовник має право додавати та коригувати перелік вулиць, які потребують косіння, їх черговість та об’єми в рамках суми договору. </w:t>
      </w:r>
    </w:p>
    <w:p>
      <w:pPr>
        <w:pStyle w:val="Normal"/>
        <w:spacing w:lineRule="exact" w:line="227"/>
        <w:ind w:left="0" w:right="0" w:firstLine="690"/>
        <w:jc w:val="both"/>
        <w:rPr>
          <w:rFonts w:eastAsia="Times New Roman CYR" w:cs="Times New Roman"/>
          <w:color w:val="000000"/>
          <w:sz w:val="24"/>
          <w:szCs w:val="24"/>
        </w:rPr>
      </w:pPr>
      <w:r>
        <w:rPr>
          <w:rFonts w:eastAsia="Times New Roman CYR" w:cs="Times New Roman"/>
          <w:color w:val="000000"/>
          <w:sz w:val="24"/>
          <w:szCs w:val="24"/>
        </w:rPr>
      </w:r>
    </w:p>
    <w:p>
      <w:pPr>
        <w:pStyle w:val="12"/>
        <w:ind w:left="0" w:righ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ind w:left="0" w:right="0" w:firstLine="426"/>
        <w:jc w:val="both"/>
        <w:rPr/>
      </w:pPr>
      <w:r>
        <w:rPr>
          <w:sz w:val="23"/>
          <w:szCs w:val="23"/>
        </w:rPr>
        <w:tab/>
        <w:t xml:space="preserve">Вартість пропозиції та всі інші ціни повинні бути чітко визначені </w:t>
      </w:r>
      <w:r>
        <w:rPr>
          <w:sz w:val="23"/>
          <w:szCs w:val="23"/>
          <w:lang w:val="uk-UA"/>
        </w:rPr>
        <w:t>та містити інформацію про вартість косіння трави - за 1 сотку та вартість посіву трави  - за 1 сотку.</w:t>
      </w:r>
    </w:p>
    <w:p>
      <w:pPr>
        <w:pStyle w:val="12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3"/>
          <w:szCs w:val="23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sz w:val="23"/>
          <w:szCs w:val="23"/>
          <w:lang w:val="uk-UA"/>
        </w:rPr>
      </w:pPr>
      <w:r>
        <w:rPr>
          <w:rFonts w:eastAsia="Times New Roman" w:cs="Times New Roman"/>
          <w:sz w:val="23"/>
          <w:szCs w:val="23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3"/>
        <w:widowControl w:val="false"/>
        <w:tabs>
          <w:tab w:val="clear" w:pos="709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34" w:right="113" w:firstLine="426"/>
        <w:jc w:val="both"/>
        <w:rPr>
          <w:rStyle w:val="Style16"/>
          <w:rFonts w:eastAsia="TimesNewRoman;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3"/>
          <w:szCs w:val="23"/>
          <w:u w:val="none"/>
          <w:shd w:fill="FFFFFF" w:val="clear"/>
          <w:vertAlign w:val="baseline"/>
          <w:lang w:val="uk-UA" w:eastAsia="uk-UA" w:bidi="ar-SA"/>
        </w:rPr>
      </w:pPr>
      <w:r>
        <w:rPr/>
      </w:r>
    </w:p>
    <w:p>
      <w:pPr>
        <w:pStyle w:val="Normal"/>
        <w:jc w:val="center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Calibri"/>
          <w:b w:val="false"/>
          <w:bCs w:val="false"/>
          <w:strike w:val="false"/>
          <w:dstrike w:val="false"/>
          <w:color w:val="auto"/>
          <w:sz w:val="16"/>
          <w:szCs w:val="16"/>
          <w:lang w:val="uk-UA" w:eastAsia="zh-CN" w:bidi="ar-SA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5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1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3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4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LibreOffice/7.0.4.2$Windows_X86_64 LibreOffice_project/dcf040e67528d9187c66b2379df5ea4407429775</Application>
  <AppVersion>15.0000</AppVersion>
  <Pages>2</Pages>
  <Words>747</Words>
  <Characters>5063</Characters>
  <CharactersWithSpaces>6103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cp:lastPrinted>2024-02-14T09:21:55Z</cp:lastPrinted>
  <dcterms:modified xsi:type="dcterms:W3CDTF">2024-04-02T09:33:56Z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